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7E3DE" w14:textId="795DA2F7" w:rsidR="00C33C03" w:rsidRPr="00E00345" w:rsidRDefault="005477B3" w:rsidP="00C33C03">
      <w:pPr>
        <w:rPr>
          <w:b/>
          <w:caps/>
          <w:sz w:val="28"/>
          <w:szCs w:val="28"/>
        </w:rPr>
      </w:pPr>
      <w:r w:rsidRPr="00E00345">
        <w:rPr>
          <w:b/>
          <w:caps/>
          <w:noProof/>
          <w:sz w:val="28"/>
          <w:szCs w:val="28"/>
        </w:rPr>
        <w:drawing>
          <wp:anchor distT="0" distB="0" distL="114300" distR="114300" simplePos="0" relativeHeight="251657728" behindDoc="0" locked="0" layoutInCell="1" allowOverlap="1" wp14:anchorId="6F35E31D" wp14:editId="37F627B2">
            <wp:simplePos x="0" y="0"/>
            <wp:positionH relativeFrom="column">
              <wp:posOffset>0</wp:posOffset>
            </wp:positionH>
            <wp:positionV relativeFrom="paragraph">
              <wp:posOffset>-342900</wp:posOffset>
            </wp:positionV>
            <wp:extent cx="901700" cy="1714500"/>
            <wp:effectExtent l="0" t="0" r="0" b="0"/>
            <wp:wrapSquare wrapText="r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17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518D" w:rsidRPr="00E00345">
        <w:rPr>
          <w:b/>
          <w:caps/>
          <w:sz w:val="28"/>
          <w:szCs w:val="28"/>
        </w:rPr>
        <w:t xml:space="preserve">Úrad verejného zdravotníctva </w:t>
      </w:r>
    </w:p>
    <w:p w14:paraId="0E6D75A5" w14:textId="77777777" w:rsidR="0039518D" w:rsidRPr="00E00345" w:rsidRDefault="0039518D" w:rsidP="00C33C03">
      <w:pPr>
        <w:rPr>
          <w:b/>
          <w:caps/>
          <w:sz w:val="28"/>
          <w:szCs w:val="28"/>
        </w:rPr>
      </w:pPr>
      <w:r w:rsidRPr="00E00345">
        <w:rPr>
          <w:b/>
          <w:caps/>
          <w:sz w:val="28"/>
          <w:szCs w:val="28"/>
        </w:rPr>
        <w:t>Slovenskej republiky</w:t>
      </w:r>
    </w:p>
    <w:p w14:paraId="1847050C" w14:textId="77777777" w:rsidR="00C33C03" w:rsidRPr="00E00345" w:rsidRDefault="00C33C03" w:rsidP="00C33C03">
      <w:pPr>
        <w:rPr>
          <w:b/>
          <w:caps/>
          <w:sz w:val="28"/>
          <w:szCs w:val="28"/>
        </w:rPr>
      </w:pPr>
    </w:p>
    <w:p w14:paraId="7799697C" w14:textId="77777777" w:rsidR="00C33C03" w:rsidRPr="00E00345" w:rsidRDefault="0039518D" w:rsidP="00C33C03">
      <w:pPr>
        <w:rPr>
          <w:b/>
        </w:rPr>
      </w:pPr>
      <w:r w:rsidRPr="00E00345">
        <w:rPr>
          <w:b/>
        </w:rPr>
        <w:t>Trnavská cesta 52</w:t>
      </w:r>
    </w:p>
    <w:p w14:paraId="5370A8DD" w14:textId="77777777" w:rsidR="00C33C03" w:rsidRPr="00E00345" w:rsidRDefault="0039518D" w:rsidP="00C33C03">
      <w:pPr>
        <w:rPr>
          <w:b/>
        </w:rPr>
      </w:pPr>
      <w:r w:rsidRPr="00E00345">
        <w:rPr>
          <w:b/>
        </w:rPr>
        <w:t>P.O.BOX 45</w:t>
      </w:r>
    </w:p>
    <w:p w14:paraId="240B1901" w14:textId="77777777" w:rsidR="0039518D" w:rsidRPr="00E00345" w:rsidRDefault="0039518D" w:rsidP="00C33C03">
      <w:pPr>
        <w:rPr>
          <w:b/>
        </w:rPr>
      </w:pPr>
      <w:r w:rsidRPr="00E00345">
        <w:rPr>
          <w:b/>
        </w:rPr>
        <w:t>826 45 Bratislava</w:t>
      </w:r>
    </w:p>
    <w:p w14:paraId="58CAF25C" w14:textId="77777777" w:rsidR="0039518D" w:rsidRPr="0039518D" w:rsidRDefault="0039518D" w:rsidP="0039518D"/>
    <w:p w14:paraId="7CC099B2" w14:textId="77777777" w:rsidR="00532453" w:rsidRDefault="00532453" w:rsidP="00532453">
      <w:pPr>
        <w:ind w:left="4248" w:firstLine="708"/>
        <w:rPr>
          <w:lang w:eastAsia="cs-CZ"/>
        </w:rPr>
      </w:pPr>
    </w:p>
    <w:p w14:paraId="03D53F8C" w14:textId="77777777" w:rsidR="0014213D" w:rsidRDefault="0014213D" w:rsidP="00532453">
      <w:pPr>
        <w:ind w:left="4248" w:firstLine="708"/>
        <w:rPr>
          <w:lang w:eastAsia="cs-CZ"/>
        </w:rPr>
      </w:pPr>
    </w:p>
    <w:p w14:paraId="26F39755" w14:textId="77777777" w:rsidR="00532453" w:rsidRDefault="00532453" w:rsidP="00532453">
      <w:pPr>
        <w:ind w:left="4956" w:firstLine="708"/>
        <w:rPr>
          <w:lang w:eastAsia="cs-CZ"/>
        </w:rPr>
      </w:pPr>
      <w:r>
        <w:rPr>
          <w:lang w:eastAsia="cs-CZ"/>
        </w:rPr>
        <w:t xml:space="preserve">V Bratislave, dňa </w:t>
      </w:r>
      <w:r w:rsidR="0014213D">
        <w:rPr>
          <w:lang w:eastAsia="cs-CZ"/>
        </w:rPr>
        <w:t>11</w:t>
      </w:r>
      <w:r>
        <w:rPr>
          <w:lang w:eastAsia="cs-CZ"/>
        </w:rPr>
        <w:t>. 03. 2020</w:t>
      </w:r>
    </w:p>
    <w:p w14:paraId="50893EA6" w14:textId="77777777" w:rsidR="0014213D" w:rsidRDefault="0014213D" w:rsidP="005477B3">
      <w:pPr>
        <w:spacing w:line="312" w:lineRule="auto"/>
        <w:rPr>
          <w:b/>
          <w:bCs/>
          <w:u w:val="single"/>
        </w:rPr>
      </w:pPr>
      <w:bookmarkStart w:id="0" w:name="_MailOriginal"/>
    </w:p>
    <w:p w14:paraId="3C355280" w14:textId="77777777" w:rsidR="0014213D" w:rsidRDefault="0014213D" w:rsidP="0014213D">
      <w:pPr>
        <w:spacing w:line="312" w:lineRule="auto"/>
        <w:jc w:val="center"/>
        <w:rPr>
          <w:b/>
          <w:bCs/>
          <w:u w:val="single"/>
        </w:rPr>
      </w:pPr>
    </w:p>
    <w:bookmarkEnd w:id="0"/>
    <w:p w14:paraId="19C51819" w14:textId="77777777" w:rsidR="005477B3" w:rsidRDefault="005477B3" w:rsidP="005477B3">
      <w:pPr>
        <w:spacing w:line="312" w:lineRule="auto"/>
        <w:jc w:val="center"/>
        <w:rPr>
          <w:b/>
          <w:bCs/>
          <w:u w:val="single"/>
        </w:rPr>
      </w:pPr>
      <w:r>
        <w:rPr>
          <w:b/>
          <w:bCs/>
          <w:u w:val="single"/>
        </w:rPr>
        <w:t>Informácia k zákazu organizovať a usporadúvať hromadné podujatia, športovej, kultúrnej, spoločenskej či inej povahy.</w:t>
      </w:r>
    </w:p>
    <w:p w14:paraId="393A460F" w14:textId="77777777" w:rsidR="005477B3" w:rsidRDefault="005477B3" w:rsidP="005477B3">
      <w:pPr>
        <w:spacing w:line="312" w:lineRule="auto"/>
        <w:jc w:val="both"/>
      </w:pPr>
    </w:p>
    <w:p w14:paraId="0B9E8088" w14:textId="77777777" w:rsidR="005477B3" w:rsidRDefault="005477B3" w:rsidP="005477B3">
      <w:pPr>
        <w:spacing w:line="312" w:lineRule="auto"/>
        <w:jc w:val="both"/>
      </w:pPr>
      <w:r>
        <w:t>Z dôvodu poznatkov iných krajín a vývoja epidémie v rôznych regiónoch sveta pri vysokej pravdepodobnosti ohrozenia a možného zasiahnutia ochorením COVID-19 u veľkého počtu obyvateľov, najmä skupín, u ktorých sa najviac pozoroval ťažký priebeh a úmrtnosť, je nevyhnutné pristúpiť na začiatku výskytu tohto ochorenia na území Slovenskej republiky ku takým opatreniam, aby sa mohlo, čo najviac ľudí vyhnúť styku s chorými ľuďmi. Ústredný krízový štáb, ktorý je koordinačným orgánom vlády Slovenskej republiky na riešenie krízovej situácie mimo času vojny a vojnového stavu s účinnosťou od 10.3.2020 zakázal organizovať a usporadúvať hromadné podujatia, športovej, kultúrnej, spoločenskej či inej povahy po dobu 14 kalendárnych dní. Opatrenie na predchádzanie vzniku a šíreniu prenosného ochorenia COVID-19  je vydané v súvislosti s nepriaznivým vývojom epidemiologickej situácie vo výskyte ochorení COVID-19 spôsobených koronavírusom (SARS-CoV-2).</w:t>
      </w:r>
    </w:p>
    <w:p w14:paraId="5AB5873E" w14:textId="77777777" w:rsidR="005477B3" w:rsidRDefault="005477B3" w:rsidP="005477B3">
      <w:pPr>
        <w:spacing w:line="312" w:lineRule="auto"/>
        <w:jc w:val="both"/>
      </w:pPr>
    </w:p>
    <w:p w14:paraId="01124B51" w14:textId="77777777" w:rsidR="005477B3" w:rsidRDefault="005477B3" w:rsidP="005477B3">
      <w:pPr>
        <w:spacing w:after="160" w:line="312" w:lineRule="auto"/>
        <w:jc w:val="both"/>
        <w:rPr>
          <w:sz w:val="22"/>
          <w:szCs w:val="22"/>
        </w:rPr>
      </w:pPr>
      <w:r>
        <w:t xml:space="preserve">Hromadnými podujatiami športovej, kultúrnej, spoločenskej či inej povahy sú </w:t>
      </w:r>
      <w:r>
        <w:rPr>
          <w:bCs/>
        </w:rPr>
        <w:t>napríklad</w:t>
      </w:r>
      <w:r>
        <w:t xml:space="preserve"> divadelné, filmové, audiovizuálne predstavenia, výstavy, koncerty, diskotéky, športové podujatia, sväté omše, plesy, svadby a iné hromadné podujatia. Nie je možné, aby Úrad verejného zdravotníctva SR presne vymedzil názvy hromadných podujatí, nakoľko opomenutím niektorého typu hromadného podujatia by vytvoril mylnú predstavu, že sa uvedené opatrenie naň nevzťahuje. Rovnako ani počet osôb, na ktoré sa uvedené opatrenie zákazu hromadných podujatí vzťahuje, nie je možné z odborného hľadiska vymedziť presným číslom, nakoľko nie je možné všeobecne špecifikovať aké osoby sa podujatia zúčastňujú (stav ich imunity, vek, rizikové faktory), aké sú  priestorové a technické podmienky  daných priestorov (typ vetrania, prístupové cesty), vzdialenosť osôb od seba, frekvencia a intenzita pohybu osôb v priestore, typy povrchov a ich dezinfikovateľnosť. Dôležitá je aj aktuálna  epidemiologická situácia  v konkrétnej lokalite a mnohé ďalšie faktory. </w:t>
      </w:r>
    </w:p>
    <w:p w14:paraId="35E00438" w14:textId="77777777" w:rsidR="005477B3" w:rsidRDefault="005477B3" w:rsidP="005477B3">
      <w:pPr>
        <w:spacing w:line="312" w:lineRule="auto"/>
        <w:jc w:val="both"/>
      </w:pPr>
      <w:r>
        <w:t xml:space="preserve">Existuje vysoké riziko, že v súvislosti s konaním hromadných podujatí, kedy dochádza k stretnutiu väčšieho počtu ľudí na jednom mieste, môže dôjsť k ďalšiemu šíreniu tohto </w:t>
      </w:r>
      <w:r>
        <w:lastRenderedPageBreak/>
        <w:t xml:space="preserve">ochorenia. Opatrenie zákazu hromadných opatrení je jedným z najefektívnejších opatrení na zabránenie vzniku epidémie a je jedným z dôležitých nástrojov na zamedzenie šírenia ochorení COVID-19 spôsobených koronavírusom (SARS-CoV-2). </w:t>
      </w:r>
    </w:p>
    <w:p w14:paraId="6E0EAF1C" w14:textId="77777777" w:rsidR="005477B3" w:rsidRDefault="005477B3" w:rsidP="005477B3">
      <w:pPr>
        <w:spacing w:line="312" w:lineRule="auto"/>
        <w:jc w:val="both"/>
      </w:pPr>
    </w:p>
    <w:p w14:paraId="4460B783" w14:textId="77777777" w:rsidR="005477B3" w:rsidRDefault="005477B3" w:rsidP="005477B3">
      <w:pPr>
        <w:spacing w:line="312" w:lineRule="auto"/>
        <w:jc w:val="both"/>
      </w:pPr>
      <w:r>
        <w:t xml:space="preserve">Ochorenie sa prejavuje najmä kašľom, dýchavičnosťou, horúčkou, v ťažkých prípadoch aj zápalom pľúc, v prípade komplikácií môže skončiť úmrtím. Svetová zdravotnícka organizácia dňa 30. 1. 2020 vyhlásila stav globálnej zdravotnej núdze a dňa 11.3.2020 pandémiu ochorenia COVID-19. </w:t>
      </w:r>
    </w:p>
    <w:p w14:paraId="4D6CFD9F" w14:textId="77777777" w:rsidR="005477B3" w:rsidRDefault="005477B3" w:rsidP="005477B3">
      <w:pPr>
        <w:pStyle w:val="Zkladntext"/>
        <w:spacing w:after="0" w:line="312" w:lineRule="auto"/>
        <w:jc w:val="both"/>
      </w:pPr>
    </w:p>
    <w:p w14:paraId="694A9F37" w14:textId="77777777" w:rsidR="005477B3" w:rsidRDefault="005477B3" w:rsidP="005477B3">
      <w:pPr>
        <w:spacing w:line="312" w:lineRule="auto"/>
        <w:jc w:val="both"/>
      </w:pPr>
      <w:r>
        <w:t xml:space="preserve">Je možné predpokladať, že epidemiologická situácia sa bude meniť a na zmenu situácie bude nutné promptne reagovať. Bude potrebné okamžite prijímať nové adekvátne protiepidemické opatrenia, ktoré budú slúžiť tomu, aby bolo obyvateľstvo čo najviac a najúčelnejšie chránené a zabránilo sa tak šíreniu tohto ochorenia.  </w:t>
      </w:r>
    </w:p>
    <w:p w14:paraId="6ECAF4BE" w14:textId="77777777" w:rsidR="005477B3" w:rsidRDefault="005477B3" w:rsidP="005477B3">
      <w:pPr>
        <w:pStyle w:val="gmail-msolistparagraph"/>
        <w:spacing w:before="0" w:beforeAutospacing="0" w:after="0" w:afterAutospacing="0" w:line="312" w:lineRule="auto"/>
        <w:jc w:val="both"/>
        <w:rPr>
          <w:rFonts w:ascii="Times New Roman" w:hAnsi="Times New Roman" w:cs="Times New Roman"/>
          <w:sz w:val="24"/>
          <w:szCs w:val="24"/>
        </w:rPr>
      </w:pPr>
    </w:p>
    <w:p w14:paraId="7B1C0F36" w14:textId="77777777" w:rsidR="005477B3" w:rsidRDefault="005477B3" w:rsidP="005477B3">
      <w:pPr>
        <w:pStyle w:val="gmail-msolistparagraph"/>
        <w:spacing w:before="0" w:beforeAutospacing="0" w:after="0" w:afterAutospacing="0" w:line="312" w:lineRule="auto"/>
        <w:jc w:val="both"/>
        <w:rPr>
          <w:rFonts w:ascii="Times New Roman" w:hAnsi="Times New Roman" w:cs="Times New Roman"/>
          <w:sz w:val="24"/>
          <w:szCs w:val="24"/>
        </w:rPr>
      </w:pPr>
      <w:r>
        <w:rPr>
          <w:rFonts w:ascii="Times New Roman" w:hAnsi="Times New Roman" w:cs="Times New Roman"/>
          <w:b/>
          <w:bCs/>
          <w:sz w:val="24"/>
          <w:szCs w:val="24"/>
        </w:rPr>
        <w:t xml:space="preserve">Úrad verejného zdravotníctva Slovenskej republiky zdôrazňuje, že cieľom opatrenia </w:t>
      </w:r>
      <w:r>
        <w:rPr>
          <w:rFonts w:ascii="Times New Roman" w:hAnsi="Times New Roman" w:cs="Times New Roman"/>
          <w:b/>
          <w:sz w:val="24"/>
          <w:szCs w:val="24"/>
        </w:rPr>
        <w:t>je ochrana zdravia ľudí a predchádzanie úmrtiam</w:t>
      </w:r>
      <w:r>
        <w:rPr>
          <w:rFonts w:ascii="Times New Roman" w:hAnsi="Times New Roman" w:cs="Times New Roman"/>
          <w:sz w:val="24"/>
          <w:szCs w:val="24"/>
        </w:rPr>
        <w:t>.</w:t>
      </w:r>
    </w:p>
    <w:p w14:paraId="7E8083EC" w14:textId="77777777" w:rsidR="005477B3" w:rsidRDefault="005477B3" w:rsidP="005477B3">
      <w:pPr>
        <w:pStyle w:val="gmail-msolistparagraph"/>
        <w:spacing w:before="0" w:beforeAutospacing="0" w:after="0" w:afterAutospacing="0" w:line="312" w:lineRule="auto"/>
        <w:jc w:val="both"/>
        <w:rPr>
          <w:rFonts w:ascii="Times New Roman" w:hAnsi="Times New Roman" w:cs="Times New Roman"/>
          <w:sz w:val="24"/>
          <w:szCs w:val="24"/>
        </w:rPr>
      </w:pPr>
    </w:p>
    <w:p w14:paraId="2351F7F0" w14:textId="77777777" w:rsidR="005477B3" w:rsidRDefault="005477B3" w:rsidP="005477B3">
      <w:pPr>
        <w:spacing w:line="312" w:lineRule="auto"/>
        <w:jc w:val="both"/>
      </w:pPr>
      <w:r>
        <w:t>Je nevyhnutné, aby každá osoba svojim správaním prispela k čo možno najlepšiemu zvládnutiu tejto zložitej situácie, aby svojim konaním neprispela k šíreniu nákazy a neohrozovala zdravie ľudí. V tomto ponímaní je nevyhnutné prijímať a akceptovať vydané nariadenie.</w:t>
      </w:r>
    </w:p>
    <w:p w14:paraId="1AA167C4" w14:textId="77777777" w:rsidR="005477B3" w:rsidRDefault="005477B3" w:rsidP="005477B3">
      <w:pPr>
        <w:spacing w:line="312" w:lineRule="auto"/>
        <w:ind w:left="45"/>
        <w:jc w:val="both"/>
      </w:pPr>
    </w:p>
    <w:p w14:paraId="1FD94F72" w14:textId="77777777" w:rsidR="0014213D" w:rsidRDefault="0014213D" w:rsidP="0014213D">
      <w:pPr>
        <w:spacing w:line="312" w:lineRule="auto"/>
        <w:jc w:val="both"/>
      </w:pPr>
    </w:p>
    <w:p w14:paraId="45D8C683" w14:textId="1C43FB34" w:rsidR="0039518D" w:rsidRDefault="0039518D" w:rsidP="0009729F"/>
    <w:p w14:paraId="7708BEF9" w14:textId="77777777" w:rsidR="005477B3" w:rsidRDefault="005477B3" w:rsidP="0009729F">
      <w:pPr>
        <w:rPr>
          <w:lang w:eastAsia="cs-CZ"/>
        </w:rPr>
      </w:pPr>
    </w:p>
    <w:p w14:paraId="2844739F" w14:textId="77777777" w:rsidR="0009729F" w:rsidRDefault="0009729F" w:rsidP="0009729F">
      <w:pPr>
        <w:rPr>
          <w:lang w:eastAsia="cs-CZ"/>
        </w:rPr>
      </w:pPr>
    </w:p>
    <w:p w14:paraId="6514610B" w14:textId="77777777" w:rsidR="0009729F" w:rsidRPr="006E09E2" w:rsidRDefault="0009729F" w:rsidP="0014213D">
      <w:pPr>
        <w:ind w:left="708" w:firstLine="708"/>
        <w:jc w:val="center"/>
      </w:pPr>
      <w:r w:rsidRPr="006E09E2">
        <w:t>Mgr. RNDr. MUDr. Ján Mikas, PhD.</w:t>
      </w:r>
    </w:p>
    <w:p w14:paraId="40CC0DB0" w14:textId="44548DF5" w:rsidR="0039518D" w:rsidRDefault="0009729F" w:rsidP="005477B3">
      <w:pPr>
        <w:ind w:left="708" w:firstLine="708"/>
        <w:jc w:val="center"/>
        <w:rPr>
          <w:lang w:eastAsia="cs-CZ"/>
        </w:rPr>
      </w:pPr>
      <w:r w:rsidRPr="006E09E2">
        <w:t>hlavný hygienik Slo</w:t>
      </w:r>
      <w:bookmarkStart w:id="1" w:name="_GoBack"/>
      <w:bookmarkEnd w:id="1"/>
      <w:r w:rsidRPr="006E09E2">
        <w:t>venskej republiky</w:t>
      </w:r>
    </w:p>
    <w:sectPr w:rsidR="0039518D" w:rsidSect="0009729F">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3DE73" w14:textId="77777777" w:rsidR="00A3647C" w:rsidRDefault="00A3647C">
      <w:r>
        <w:separator/>
      </w:r>
    </w:p>
  </w:endnote>
  <w:endnote w:type="continuationSeparator" w:id="0">
    <w:p w14:paraId="2A0632E0" w14:textId="77777777" w:rsidR="00A3647C" w:rsidRDefault="00A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580E8" w14:textId="77777777" w:rsidR="00A3647C" w:rsidRDefault="00A3647C">
      <w:r>
        <w:separator/>
      </w:r>
    </w:p>
  </w:footnote>
  <w:footnote w:type="continuationSeparator" w:id="0">
    <w:p w14:paraId="5FFCA46F" w14:textId="77777777" w:rsidR="00A3647C" w:rsidRDefault="00A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2556E"/>
    <w:multiLevelType w:val="hybridMultilevel"/>
    <w:tmpl w:val="0368E4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6061CBE"/>
    <w:multiLevelType w:val="hybridMultilevel"/>
    <w:tmpl w:val="F04EA09A"/>
    <w:lvl w:ilvl="0" w:tplc="796CA010">
      <w:start w:val="18"/>
      <w:numFmt w:val="bullet"/>
      <w:lvlText w:val="-"/>
      <w:lvlJc w:val="left"/>
      <w:pPr>
        <w:ind w:left="405" w:hanging="360"/>
      </w:pPr>
      <w:rPr>
        <w:rFonts w:ascii="Calibri" w:eastAsia="Calibri" w:hAnsi="Calibri" w:cs="Calibri" w:hint="default"/>
      </w:rPr>
    </w:lvl>
    <w:lvl w:ilvl="1" w:tplc="041B0003">
      <w:start w:val="1"/>
      <w:numFmt w:val="bullet"/>
      <w:lvlText w:val="o"/>
      <w:lvlJc w:val="left"/>
      <w:pPr>
        <w:ind w:left="1125" w:hanging="360"/>
      </w:pPr>
      <w:rPr>
        <w:rFonts w:ascii="Courier New" w:hAnsi="Courier New" w:cs="Courier New" w:hint="default"/>
      </w:rPr>
    </w:lvl>
    <w:lvl w:ilvl="2" w:tplc="041B0005">
      <w:start w:val="1"/>
      <w:numFmt w:val="bullet"/>
      <w:lvlText w:val=""/>
      <w:lvlJc w:val="left"/>
      <w:pPr>
        <w:ind w:left="1845" w:hanging="360"/>
      </w:pPr>
      <w:rPr>
        <w:rFonts w:ascii="Wingdings" w:hAnsi="Wingdings" w:hint="default"/>
      </w:rPr>
    </w:lvl>
    <w:lvl w:ilvl="3" w:tplc="041B0001">
      <w:start w:val="1"/>
      <w:numFmt w:val="bullet"/>
      <w:lvlText w:val=""/>
      <w:lvlJc w:val="left"/>
      <w:pPr>
        <w:ind w:left="2565" w:hanging="360"/>
      </w:pPr>
      <w:rPr>
        <w:rFonts w:ascii="Symbol" w:hAnsi="Symbol" w:hint="default"/>
      </w:rPr>
    </w:lvl>
    <w:lvl w:ilvl="4" w:tplc="041B0003">
      <w:start w:val="1"/>
      <w:numFmt w:val="bullet"/>
      <w:lvlText w:val="o"/>
      <w:lvlJc w:val="left"/>
      <w:pPr>
        <w:ind w:left="3285" w:hanging="360"/>
      </w:pPr>
      <w:rPr>
        <w:rFonts w:ascii="Courier New" w:hAnsi="Courier New" w:cs="Courier New" w:hint="default"/>
      </w:rPr>
    </w:lvl>
    <w:lvl w:ilvl="5" w:tplc="041B0005">
      <w:start w:val="1"/>
      <w:numFmt w:val="bullet"/>
      <w:lvlText w:val=""/>
      <w:lvlJc w:val="left"/>
      <w:pPr>
        <w:ind w:left="4005" w:hanging="360"/>
      </w:pPr>
      <w:rPr>
        <w:rFonts w:ascii="Wingdings" w:hAnsi="Wingdings" w:hint="default"/>
      </w:rPr>
    </w:lvl>
    <w:lvl w:ilvl="6" w:tplc="041B0001">
      <w:start w:val="1"/>
      <w:numFmt w:val="bullet"/>
      <w:lvlText w:val=""/>
      <w:lvlJc w:val="left"/>
      <w:pPr>
        <w:ind w:left="4725" w:hanging="360"/>
      </w:pPr>
      <w:rPr>
        <w:rFonts w:ascii="Symbol" w:hAnsi="Symbol" w:hint="default"/>
      </w:rPr>
    </w:lvl>
    <w:lvl w:ilvl="7" w:tplc="041B0003">
      <w:start w:val="1"/>
      <w:numFmt w:val="bullet"/>
      <w:lvlText w:val="o"/>
      <w:lvlJc w:val="left"/>
      <w:pPr>
        <w:ind w:left="5445" w:hanging="360"/>
      </w:pPr>
      <w:rPr>
        <w:rFonts w:ascii="Courier New" w:hAnsi="Courier New" w:cs="Courier New" w:hint="default"/>
      </w:rPr>
    </w:lvl>
    <w:lvl w:ilvl="8" w:tplc="041B0005">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8D"/>
    <w:rsid w:val="000201EB"/>
    <w:rsid w:val="0009729F"/>
    <w:rsid w:val="0014213D"/>
    <w:rsid w:val="0039518D"/>
    <w:rsid w:val="003D0A64"/>
    <w:rsid w:val="00532453"/>
    <w:rsid w:val="00535FC8"/>
    <w:rsid w:val="005477B3"/>
    <w:rsid w:val="00584419"/>
    <w:rsid w:val="006C4332"/>
    <w:rsid w:val="00737B6F"/>
    <w:rsid w:val="007E1A84"/>
    <w:rsid w:val="0083088D"/>
    <w:rsid w:val="008B695F"/>
    <w:rsid w:val="00A3647C"/>
    <w:rsid w:val="00B20073"/>
    <w:rsid w:val="00C33C03"/>
    <w:rsid w:val="00E00345"/>
    <w:rsid w:val="00E3575C"/>
    <w:rsid w:val="00F0694D"/>
    <w:rsid w:val="00F91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1CE95"/>
  <w15:chartTrackingRefBased/>
  <w15:docId w15:val="{516A3763-3690-4F6D-A54F-3BD1FA9D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rPr>
  </w:style>
  <w:style w:type="paragraph" w:styleId="Nadpis2">
    <w:name w:val="heading 2"/>
    <w:basedOn w:val="Normlny"/>
    <w:next w:val="Normlny"/>
    <w:qFormat/>
    <w:rsid w:val="0039518D"/>
    <w:pPr>
      <w:keepNext/>
      <w:ind w:left="1416" w:hanging="1416"/>
      <w:outlineLvl w:val="1"/>
    </w:pPr>
    <w:rPr>
      <w:rFonts w:eastAsia="Arial Unicode MS"/>
      <w:b/>
      <w:bCs/>
      <w:lang w:eastAsia="cs-CZ"/>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character" w:styleId="Hypertextovprepojenie">
    <w:name w:val="Hyperlink"/>
    <w:rsid w:val="0039518D"/>
    <w:rPr>
      <w:color w:val="0000FF"/>
      <w:u w:val="single"/>
    </w:rPr>
  </w:style>
  <w:style w:type="paragraph" w:styleId="Hlavika">
    <w:name w:val="header"/>
    <w:basedOn w:val="Normlny"/>
    <w:rsid w:val="003D0A64"/>
    <w:pPr>
      <w:tabs>
        <w:tab w:val="center" w:pos="4536"/>
        <w:tab w:val="right" w:pos="9072"/>
      </w:tabs>
    </w:pPr>
  </w:style>
  <w:style w:type="paragraph" w:styleId="Pta">
    <w:name w:val="footer"/>
    <w:basedOn w:val="Normlny"/>
    <w:rsid w:val="003D0A64"/>
    <w:pPr>
      <w:tabs>
        <w:tab w:val="center" w:pos="4536"/>
        <w:tab w:val="right" w:pos="9072"/>
      </w:tabs>
    </w:pPr>
  </w:style>
  <w:style w:type="paragraph" w:styleId="Odsekzoznamu">
    <w:name w:val="List Paragraph"/>
    <w:basedOn w:val="Normlny"/>
    <w:uiPriority w:val="34"/>
    <w:qFormat/>
    <w:rsid w:val="0009729F"/>
    <w:pPr>
      <w:ind w:left="720"/>
      <w:contextualSpacing/>
    </w:pPr>
    <w:rPr>
      <w:rFonts w:ascii="Calibri" w:eastAsia="Calibri" w:hAnsi="Calibri"/>
      <w:sz w:val="22"/>
      <w:szCs w:val="22"/>
      <w:lang w:eastAsia="en-US"/>
    </w:rPr>
  </w:style>
  <w:style w:type="paragraph" w:styleId="Zkladntext">
    <w:name w:val="Body Text"/>
    <w:basedOn w:val="Normlny"/>
    <w:link w:val="ZkladntextChar"/>
    <w:unhideWhenUsed/>
    <w:rsid w:val="0014213D"/>
    <w:pPr>
      <w:spacing w:after="120"/>
    </w:pPr>
  </w:style>
  <w:style w:type="character" w:customStyle="1" w:styleId="ZkladntextChar">
    <w:name w:val="Základný text Char"/>
    <w:link w:val="Zkladntext"/>
    <w:rsid w:val="0014213D"/>
    <w:rPr>
      <w:sz w:val="24"/>
      <w:szCs w:val="24"/>
    </w:rPr>
  </w:style>
  <w:style w:type="paragraph" w:customStyle="1" w:styleId="gmail-msolistparagraph">
    <w:name w:val="gmail-msolistparagraph"/>
    <w:basedOn w:val="Normlny"/>
    <w:rsid w:val="0014213D"/>
    <w:pPr>
      <w:spacing w:before="100" w:beforeAutospacing="1" w:after="100" w:afterAutospacing="1"/>
    </w:pPr>
    <w:rPr>
      <w:rFonts w:ascii="Calibri" w:eastAsia="Calibri" w:hAnsi="Calibri" w:cs="Calibri"/>
      <w:sz w:val="22"/>
      <w:szCs w:val="22"/>
    </w:rPr>
  </w:style>
  <w:style w:type="paragraph" w:customStyle="1" w:styleId="tl">
    <w:name w:val="Štýl"/>
    <w:rsid w:val="0014213D"/>
    <w:pPr>
      <w:widowControl w:val="0"/>
      <w:autoSpaceDE w:val="0"/>
      <w:autoSpaceDN w:val="0"/>
      <w:adjustRightInd w:val="0"/>
    </w:pPr>
    <w:rPr>
      <w:sz w:val="24"/>
      <w:szCs w:val="24"/>
    </w:rPr>
  </w:style>
  <w:style w:type="character" w:styleId="Odkaznakomentr">
    <w:name w:val="annotation reference"/>
    <w:uiPriority w:val="99"/>
    <w:unhideWhenUsed/>
    <w:rsid w:val="0014213D"/>
    <w:rPr>
      <w:sz w:val="16"/>
      <w:szCs w:val="16"/>
    </w:rPr>
  </w:style>
  <w:style w:type="paragraph" w:styleId="Textkomentra">
    <w:name w:val="annotation text"/>
    <w:basedOn w:val="Normlny"/>
    <w:link w:val="TextkomentraChar"/>
    <w:uiPriority w:val="99"/>
    <w:unhideWhenUsed/>
    <w:rsid w:val="0014213D"/>
    <w:rPr>
      <w:rFonts w:ascii="Calibri" w:eastAsia="Calibri" w:hAnsi="Calibri" w:cs="Calibri"/>
      <w:sz w:val="20"/>
      <w:szCs w:val="20"/>
    </w:rPr>
  </w:style>
  <w:style w:type="character" w:customStyle="1" w:styleId="TextkomentraChar">
    <w:name w:val="Text komentára Char"/>
    <w:link w:val="Textkomentra"/>
    <w:uiPriority w:val="99"/>
    <w:rsid w:val="0014213D"/>
    <w:rPr>
      <w:rFonts w:ascii="Calibri" w:eastAsia="Calibri" w:hAnsi="Calibri" w:cs="Calibri"/>
    </w:rPr>
  </w:style>
  <w:style w:type="paragraph" w:styleId="Textbubliny">
    <w:name w:val="Balloon Text"/>
    <w:basedOn w:val="Normlny"/>
    <w:link w:val="TextbublinyChar"/>
    <w:rsid w:val="0014213D"/>
    <w:rPr>
      <w:rFonts w:ascii="Segoe UI" w:hAnsi="Segoe UI" w:cs="Segoe UI"/>
      <w:sz w:val="18"/>
      <w:szCs w:val="18"/>
    </w:rPr>
  </w:style>
  <w:style w:type="character" w:customStyle="1" w:styleId="TextbublinyChar">
    <w:name w:val="Text bubliny Char"/>
    <w:link w:val="Textbubliny"/>
    <w:rsid w:val="00142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9019">
      <w:bodyDiv w:val="1"/>
      <w:marLeft w:val="0"/>
      <w:marRight w:val="0"/>
      <w:marTop w:val="0"/>
      <w:marBottom w:val="0"/>
      <w:divBdr>
        <w:top w:val="none" w:sz="0" w:space="0" w:color="auto"/>
        <w:left w:val="none" w:sz="0" w:space="0" w:color="auto"/>
        <w:bottom w:val="none" w:sz="0" w:space="0" w:color="auto"/>
        <w:right w:val="none" w:sz="0" w:space="0" w:color="auto"/>
      </w:divBdr>
    </w:div>
    <w:div w:id="9318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3155</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ÚRAD VEREJNÉHO ZDRAVOTNÍCTVA</vt:lpstr>
    </vt:vector>
  </TitlesOfParts>
  <Company>UVZ SR</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ÚRAD VEREJNÉHO ZDRAVOTNÍCTVA</dc:title>
  <dc:subject/>
  <dc:creator>Lukacovicova</dc:creator>
  <cp:keywords/>
  <dc:description/>
  <cp:lastModifiedBy>Roman Soska</cp:lastModifiedBy>
  <cp:revision>2</cp:revision>
  <cp:lastPrinted>2007-03-01T07:54:00Z</cp:lastPrinted>
  <dcterms:created xsi:type="dcterms:W3CDTF">2020-03-12T06:59:00Z</dcterms:created>
  <dcterms:modified xsi:type="dcterms:W3CDTF">2020-03-12T06:59:00Z</dcterms:modified>
</cp:coreProperties>
</file>